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E5" w:rsidRPr="00D757B0" w:rsidRDefault="00CF49E5" w:rsidP="00312E15">
      <w:pPr>
        <w:shd w:val="clear" w:color="auto" w:fill="FFFFFF"/>
        <w:spacing w:after="150" w:line="270" w:lineRule="atLeast"/>
        <w:ind w:firstLine="709"/>
        <w:jc w:val="both"/>
        <w:textAlignment w:val="baseline"/>
        <w:rPr>
          <w:rFonts w:ascii="Times New Roman" w:hAnsi="Times New Roman" w:cs="Times New Roman"/>
          <w:b/>
          <w:i/>
          <w:sz w:val="28"/>
          <w:szCs w:val="28"/>
          <w:u w:val="single"/>
        </w:rPr>
      </w:pPr>
      <w:r w:rsidRPr="00D757B0">
        <w:rPr>
          <w:rFonts w:ascii="Times New Roman" w:hAnsi="Times New Roman" w:cs="Times New Roman"/>
          <w:b/>
          <w:i/>
          <w:sz w:val="28"/>
          <w:szCs w:val="28"/>
          <w:u w:val="single"/>
        </w:rPr>
        <w:t>Где взять форму заявки на технологическое присоединение?</w:t>
      </w:r>
    </w:p>
    <w:p w:rsidR="00CF49E5" w:rsidRDefault="00CF49E5" w:rsidP="00312E15">
      <w:pPr>
        <w:ind w:firstLine="709"/>
        <w:jc w:val="both"/>
        <w:rPr>
          <w:rFonts w:ascii="Times New Roman" w:hAnsi="Times New Roman" w:cs="Times New Roman"/>
          <w:sz w:val="28"/>
          <w:szCs w:val="28"/>
        </w:rPr>
      </w:pPr>
      <w:r w:rsidRPr="00CF49E5">
        <w:rPr>
          <w:rFonts w:ascii="Times New Roman" w:hAnsi="Times New Roman" w:cs="Times New Roman"/>
          <w:sz w:val="28"/>
          <w:szCs w:val="28"/>
        </w:rPr>
        <w:t xml:space="preserve">Формы заявок для осуществления технологического присоединения расположены на официальном сайте ООО «Энергия-Транзит» по адресу: </w:t>
      </w:r>
      <w:hyperlink r:id="rId5" w:history="1">
        <w:r w:rsidRPr="00CF49E5">
          <w:rPr>
            <w:rStyle w:val="a3"/>
            <w:rFonts w:ascii="Times New Roman" w:hAnsi="Times New Roman" w:cs="Times New Roman"/>
            <w:sz w:val="28"/>
            <w:szCs w:val="28"/>
            <w:lang w:val="en-US"/>
          </w:rPr>
          <w:t>www</w:t>
        </w:r>
        <w:r w:rsidRPr="00CF49E5">
          <w:rPr>
            <w:rStyle w:val="a3"/>
            <w:rFonts w:ascii="Times New Roman" w:hAnsi="Times New Roman" w:cs="Times New Roman"/>
            <w:sz w:val="28"/>
            <w:szCs w:val="28"/>
          </w:rPr>
          <w:t>.e-tranzit.ru</w:t>
        </w:r>
      </w:hyperlink>
      <w:r w:rsidRPr="00CF49E5">
        <w:rPr>
          <w:rFonts w:ascii="Times New Roman" w:hAnsi="Times New Roman" w:cs="Times New Roman"/>
          <w:sz w:val="28"/>
          <w:szCs w:val="28"/>
        </w:rPr>
        <w:t>, вкладка «Потребителю», раздел «Технологическое присоединение – типовые формы документов – типовые формы заявок».</w:t>
      </w:r>
    </w:p>
    <w:p w:rsidR="00506864" w:rsidRPr="00D757B0" w:rsidRDefault="00506864" w:rsidP="00506864">
      <w:pPr>
        <w:shd w:val="clear" w:color="auto" w:fill="FFFFFF"/>
        <w:spacing w:after="0" w:line="240" w:lineRule="auto"/>
        <w:ind w:firstLine="360"/>
        <w:jc w:val="both"/>
        <w:rPr>
          <w:rFonts w:ascii="Times New Roman" w:eastAsia="Times New Roman" w:hAnsi="Times New Roman" w:cs="Times New Roman"/>
          <w:sz w:val="24"/>
          <w:szCs w:val="24"/>
          <w:u w:val="single"/>
          <w:lang w:eastAsia="ru-RU"/>
        </w:rPr>
      </w:pPr>
    </w:p>
    <w:p w:rsidR="00506864" w:rsidRPr="00D757B0" w:rsidRDefault="00506864" w:rsidP="00506864">
      <w:pPr>
        <w:jc w:val="both"/>
        <w:rPr>
          <w:rFonts w:ascii="Times New Roman" w:hAnsi="Times New Roman" w:cs="Times New Roman"/>
          <w:b/>
          <w:i/>
          <w:sz w:val="28"/>
          <w:szCs w:val="24"/>
          <w:u w:val="single"/>
        </w:rPr>
      </w:pPr>
      <w:r w:rsidRPr="00D757B0">
        <w:rPr>
          <w:rFonts w:ascii="Times New Roman" w:hAnsi="Times New Roman" w:cs="Times New Roman"/>
          <w:b/>
          <w:i/>
          <w:sz w:val="28"/>
          <w:szCs w:val="24"/>
          <w:u w:val="single"/>
        </w:rPr>
        <w:t xml:space="preserve">           Возможно ли временное подключение к электрическим сетям на период строительства?</w:t>
      </w:r>
    </w:p>
    <w:p w:rsidR="00506864" w:rsidRPr="00506864" w:rsidRDefault="00506864" w:rsidP="00506864">
      <w:pPr>
        <w:spacing w:after="0"/>
        <w:ind w:firstLine="851"/>
        <w:jc w:val="both"/>
        <w:rPr>
          <w:rFonts w:ascii="Times New Roman" w:hAnsi="Times New Roman" w:cs="Times New Roman"/>
          <w:sz w:val="28"/>
          <w:szCs w:val="24"/>
        </w:rPr>
      </w:pPr>
      <w:r w:rsidRPr="00506864">
        <w:rPr>
          <w:rFonts w:ascii="Times New Roman" w:hAnsi="Times New Roman" w:cs="Times New Roman"/>
          <w:sz w:val="28"/>
          <w:szCs w:val="24"/>
        </w:rPr>
        <w:t>Для осуществления временного технологического присоединения необходимо одновременное соблюдение следующих условий:</w:t>
      </w:r>
    </w:p>
    <w:p w:rsidR="00506864" w:rsidRPr="00506864" w:rsidRDefault="00506864" w:rsidP="00506864">
      <w:pPr>
        <w:spacing w:after="0"/>
        <w:ind w:firstLine="851"/>
        <w:jc w:val="both"/>
        <w:rPr>
          <w:rFonts w:ascii="Times New Roman" w:hAnsi="Times New Roman" w:cs="Times New Roman"/>
          <w:sz w:val="28"/>
          <w:szCs w:val="24"/>
        </w:rPr>
      </w:pPr>
      <w:r w:rsidRPr="00506864">
        <w:rPr>
          <w:rFonts w:ascii="Times New Roman" w:hAnsi="Times New Roman" w:cs="Times New Roman"/>
          <w:sz w:val="28"/>
          <w:szCs w:val="24"/>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506864" w:rsidRPr="00506864" w:rsidRDefault="00506864" w:rsidP="00506864">
      <w:pPr>
        <w:spacing w:after="0"/>
        <w:ind w:firstLine="851"/>
        <w:jc w:val="both"/>
        <w:rPr>
          <w:rFonts w:ascii="Times New Roman" w:hAnsi="Times New Roman" w:cs="Times New Roman"/>
          <w:sz w:val="28"/>
          <w:szCs w:val="24"/>
        </w:rPr>
      </w:pPr>
      <w:r w:rsidRPr="00506864">
        <w:rPr>
          <w:rFonts w:ascii="Times New Roman" w:hAnsi="Times New Roman" w:cs="Times New Roman"/>
          <w:sz w:val="28"/>
          <w:szCs w:val="24"/>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506864" w:rsidRPr="00506864" w:rsidRDefault="00506864" w:rsidP="00506864">
      <w:pPr>
        <w:spacing w:after="0"/>
        <w:ind w:firstLine="851"/>
        <w:jc w:val="both"/>
        <w:rPr>
          <w:rFonts w:ascii="Times New Roman" w:hAnsi="Times New Roman" w:cs="Times New Roman"/>
          <w:sz w:val="28"/>
          <w:szCs w:val="24"/>
        </w:rPr>
      </w:pPr>
      <w:r w:rsidRPr="00506864">
        <w:rPr>
          <w:rFonts w:ascii="Times New Roman" w:hAnsi="Times New Roman" w:cs="Times New Roman"/>
          <w:sz w:val="28"/>
          <w:szCs w:val="24"/>
        </w:rPr>
        <w:t>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506864" w:rsidRPr="00506864" w:rsidRDefault="00506864" w:rsidP="00506864">
      <w:pPr>
        <w:spacing w:after="0" w:line="240" w:lineRule="auto"/>
        <w:ind w:firstLine="851"/>
        <w:contextualSpacing/>
        <w:jc w:val="both"/>
        <w:rPr>
          <w:rFonts w:ascii="Times New Roman" w:hAnsi="Times New Roman" w:cs="Times New Roman"/>
          <w:sz w:val="28"/>
          <w:szCs w:val="24"/>
        </w:rPr>
      </w:pPr>
      <w:r w:rsidRPr="00506864">
        <w:rPr>
          <w:rFonts w:ascii="Times New Roman" w:hAnsi="Times New Roman" w:cs="Times New Roman"/>
          <w:sz w:val="28"/>
          <w:szCs w:val="24"/>
        </w:rPr>
        <w:t>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506864" w:rsidRDefault="00506864" w:rsidP="00506864">
      <w:pPr>
        <w:shd w:val="clear" w:color="auto" w:fill="FFFFFF"/>
        <w:spacing w:after="0" w:line="240" w:lineRule="auto"/>
        <w:ind w:firstLine="709"/>
        <w:contextualSpacing/>
        <w:jc w:val="both"/>
        <w:textAlignment w:val="baseline"/>
        <w:rPr>
          <w:rFonts w:ascii="Times New Roman" w:eastAsia="Times New Roman" w:hAnsi="Times New Roman" w:cs="Times New Roman"/>
          <w:b/>
          <w:i/>
          <w:sz w:val="28"/>
          <w:szCs w:val="28"/>
          <w:lang w:eastAsia="ru-RU"/>
        </w:rPr>
      </w:pPr>
    </w:p>
    <w:p w:rsidR="00D757B0" w:rsidRPr="00955126" w:rsidRDefault="00D757B0" w:rsidP="00D757B0">
      <w:pPr>
        <w:spacing w:after="0" w:line="240" w:lineRule="auto"/>
        <w:ind w:firstLine="709"/>
        <w:contextualSpacing/>
        <w:jc w:val="both"/>
        <w:rPr>
          <w:rFonts w:ascii="Times New Roman" w:hAnsi="Times New Roman" w:cs="Times New Roman"/>
          <w:b/>
          <w:i/>
          <w:sz w:val="28"/>
          <w:u w:val="single"/>
        </w:rPr>
      </w:pPr>
      <w:r w:rsidRPr="00955126">
        <w:rPr>
          <w:rFonts w:ascii="Times New Roman" w:hAnsi="Times New Roman" w:cs="Times New Roman"/>
          <w:b/>
          <w:i/>
          <w:sz w:val="28"/>
          <w:u w:val="single"/>
        </w:rPr>
        <w:t>Можно ли про</w:t>
      </w:r>
      <w:r>
        <w:rPr>
          <w:rFonts w:ascii="Times New Roman" w:hAnsi="Times New Roman" w:cs="Times New Roman"/>
          <w:b/>
          <w:i/>
          <w:sz w:val="28"/>
          <w:u w:val="single"/>
        </w:rPr>
        <w:t>длить сроки действия договора и  технические условия на</w:t>
      </w:r>
      <w:r w:rsidRPr="00955126">
        <w:rPr>
          <w:rFonts w:ascii="Times New Roman" w:hAnsi="Times New Roman" w:cs="Times New Roman"/>
          <w:b/>
          <w:i/>
          <w:sz w:val="28"/>
          <w:u w:val="single"/>
        </w:rPr>
        <w:t xml:space="preserve"> технологическое присоединение?</w:t>
      </w:r>
    </w:p>
    <w:p w:rsidR="00D757B0" w:rsidRPr="00955126" w:rsidRDefault="00D757B0" w:rsidP="00D757B0">
      <w:pPr>
        <w:spacing w:after="0" w:line="240" w:lineRule="auto"/>
        <w:ind w:firstLine="709"/>
        <w:contextualSpacing/>
        <w:jc w:val="both"/>
        <w:rPr>
          <w:rFonts w:ascii="Times New Roman" w:hAnsi="Times New Roman" w:cs="Times New Roman"/>
          <w:sz w:val="28"/>
        </w:rPr>
      </w:pPr>
    </w:p>
    <w:p w:rsidR="00D757B0" w:rsidRDefault="00D757B0" w:rsidP="00D757B0">
      <w:pPr>
        <w:spacing w:after="0" w:line="240" w:lineRule="auto"/>
        <w:ind w:firstLine="709"/>
        <w:contextualSpacing/>
        <w:jc w:val="both"/>
        <w:rPr>
          <w:rFonts w:ascii="Times New Roman" w:hAnsi="Times New Roman" w:cs="Times New Roman"/>
          <w:sz w:val="28"/>
        </w:rPr>
      </w:pPr>
      <w:r w:rsidRPr="00955126">
        <w:rPr>
          <w:rFonts w:ascii="Times New Roman" w:hAnsi="Times New Roman" w:cs="Times New Roman"/>
          <w:sz w:val="28"/>
        </w:rPr>
        <w:t xml:space="preserve">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w:t>
      </w:r>
    </w:p>
    <w:p w:rsidR="00506864" w:rsidRPr="00506864" w:rsidRDefault="00D757B0" w:rsidP="00D757B0">
      <w:pPr>
        <w:shd w:val="clear" w:color="auto" w:fill="FFFFFF"/>
        <w:spacing w:after="0" w:line="240" w:lineRule="auto"/>
        <w:ind w:firstLine="709"/>
        <w:contextualSpacing/>
        <w:jc w:val="both"/>
        <w:textAlignment w:val="baseline"/>
        <w:rPr>
          <w:rFonts w:ascii="Times New Roman" w:eastAsia="Times New Roman" w:hAnsi="Times New Roman" w:cs="Times New Roman"/>
          <w:sz w:val="18"/>
          <w:szCs w:val="28"/>
          <w:lang w:eastAsia="ru-RU"/>
        </w:rPr>
      </w:pPr>
      <w:r w:rsidRPr="00955126">
        <w:rPr>
          <w:rFonts w:ascii="Times New Roman" w:hAnsi="Times New Roman" w:cs="Times New Roman"/>
          <w:sz w:val="28"/>
        </w:rPr>
        <w:t>Срок действия технических условий не может составлять менее 2 лет и более 5 лет</w:t>
      </w:r>
      <w:r>
        <w:rPr>
          <w:rFonts w:ascii="Times New Roman" w:hAnsi="Times New Roman" w:cs="Times New Roman"/>
          <w:sz w:val="28"/>
        </w:rPr>
        <w:t>.</w:t>
      </w:r>
      <w:bookmarkStart w:id="0" w:name="_GoBack"/>
      <w:bookmarkEnd w:id="0"/>
    </w:p>
    <w:sectPr w:rsidR="00506864" w:rsidRPr="00506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C0F2A"/>
    <w:multiLevelType w:val="multilevel"/>
    <w:tmpl w:val="BF98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E5"/>
    <w:rsid w:val="00066925"/>
    <w:rsid w:val="00156CB3"/>
    <w:rsid w:val="00312E15"/>
    <w:rsid w:val="00365969"/>
    <w:rsid w:val="00506864"/>
    <w:rsid w:val="00CF49E5"/>
    <w:rsid w:val="00D7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2E802-E63A-491A-96AF-3471CF9D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9E5"/>
    <w:rPr>
      <w:color w:val="0000FF"/>
      <w:u w:val="single"/>
    </w:rPr>
  </w:style>
  <w:style w:type="paragraph" w:styleId="a4">
    <w:name w:val="Balloon Text"/>
    <w:basedOn w:val="a"/>
    <w:link w:val="a5"/>
    <w:uiPriority w:val="99"/>
    <w:semiHidden/>
    <w:unhideWhenUsed/>
    <w:rsid w:val="00CF49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49E5"/>
    <w:rPr>
      <w:rFonts w:ascii="Segoe UI" w:hAnsi="Segoe UI" w:cs="Segoe UI"/>
      <w:sz w:val="18"/>
      <w:szCs w:val="18"/>
    </w:rPr>
  </w:style>
  <w:style w:type="paragraph" w:styleId="a6">
    <w:name w:val="No Spacing"/>
    <w:uiPriority w:val="1"/>
    <w:qFormat/>
    <w:rsid w:val="00506864"/>
    <w:pPr>
      <w:spacing w:after="0" w:line="240" w:lineRule="auto"/>
    </w:pPr>
  </w:style>
  <w:style w:type="character" w:customStyle="1" w:styleId="blk">
    <w:name w:val="blk"/>
    <w:basedOn w:val="a0"/>
    <w:rsid w:val="00506864"/>
  </w:style>
  <w:style w:type="character" w:customStyle="1" w:styleId="f">
    <w:name w:val="f"/>
    <w:basedOn w:val="a0"/>
    <w:rsid w:val="0050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6061">
      <w:bodyDiv w:val="1"/>
      <w:marLeft w:val="0"/>
      <w:marRight w:val="0"/>
      <w:marTop w:val="0"/>
      <w:marBottom w:val="0"/>
      <w:divBdr>
        <w:top w:val="none" w:sz="0" w:space="0" w:color="auto"/>
        <w:left w:val="none" w:sz="0" w:space="0" w:color="auto"/>
        <w:bottom w:val="none" w:sz="0" w:space="0" w:color="auto"/>
        <w:right w:val="none" w:sz="0" w:space="0" w:color="auto"/>
      </w:divBdr>
      <w:divsChild>
        <w:div w:id="2132358489">
          <w:marLeft w:val="0"/>
          <w:marRight w:val="0"/>
          <w:marTop w:val="0"/>
          <w:marBottom w:val="0"/>
          <w:divBdr>
            <w:top w:val="single" w:sz="6" w:space="11" w:color="EAEBEA"/>
            <w:left w:val="none" w:sz="0" w:space="11" w:color="auto"/>
            <w:bottom w:val="none" w:sz="0" w:space="15" w:color="auto"/>
            <w:right w:val="none" w:sz="0" w:space="31" w:color="auto"/>
          </w:divBdr>
        </w:div>
      </w:divsChild>
    </w:div>
    <w:div w:id="736170129">
      <w:bodyDiv w:val="1"/>
      <w:marLeft w:val="0"/>
      <w:marRight w:val="0"/>
      <w:marTop w:val="0"/>
      <w:marBottom w:val="0"/>
      <w:divBdr>
        <w:top w:val="none" w:sz="0" w:space="0" w:color="auto"/>
        <w:left w:val="none" w:sz="0" w:space="0" w:color="auto"/>
        <w:bottom w:val="none" w:sz="0" w:space="0" w:color="auto"/>
        <w:right w:val="none" w:sz="0" w:space="0" w:color="auto"/>
      </w:divBdr>
    </w:div>
    <w:div w:id="1070880949">
      <w:bodyDiv w:val="1"/>
      <w:marLeft w:val="0"/>
      <w:marRight w:val="0"/>
      <w:marTop w:val="0"/>
      <w:marBottom w:val="0"/>
      <w:divBdr>
        <w:top w:val="none" w:sz="0" w:space="0" w:color="auto"/>
        <w:left w:val="none" w:sz="0" w:space="0" w:color="auto"/>
        <w:bottom w:val="none" w:sz="0" w:space="0" w:color="auto"/>
        <w:right w:val="none" w:sz="0" w:space="0" w:color="auto"/>
      </w:divBdr>
    </w:div>
    <w:div w:id="1127118056">
      <w:bodyDiv w:val="1"/>
      <w:marLeft w:val="0"/>
      <w:marRight w:val="0"/>
      <w:marTop w:val="0"/>
      <w:marBottom w:val="0"/>
      <w:divBdr>
        <w:top w:val="none" w:sz="0" w:space="0" w:color="auto"/>
        <w:left w:val="none" w:sz="0" w:space="0" w:color="auto"/>
        <w:bottom w:val="none" w:sz="0" w:space="0" w:color="auto"/>
        <w:right w:val="none" w:sz="0" w:space="0" w:color="auto"/>
      </w:divBdr>
    </w:div>
    <w:div w:id="1302226656">
      <w:bodyDiv w:val="1"/>
      <w:marLeft w:val="0"/>
      <w:marRight w:val="0"/>
      <w:marTop w:val="0"/>
      <w:marBottom w:val="0"/>
      <w:divBdr>
        <w:top w:val="none" w:sz="0" w:space="0" w:color="auto"/>
        <w:left w:val="none" w:sz="0" w:space="0" w:color="auto"/>
        <w:bottom w:val="none" w:sz="0" w:space="0" w:color="auto"/>
        <w:right w:val="none" w:sz="0" w:space="0" w:color="auto"/>
      </w:divBdr>
    </w:div>
    <w:div w:id="1599026228">
      <w:bodyDiv w:val="1"/>
      <w:marLeft w:val="0"/>
      <w:marRight w:val="0"/>
      <w:marTop w:val="0"/>
      <w:marBottom w:val="0"/>
      <w:divBdr>
        <w:top w:val="none" w:sz="0" w:space="0" w:color="auto"/>
        <w:left w:val="none" w:sz="0" w:space="0" w:color="auto"/>
        <w:bottom w:val="none" w:sz="0" w:space="0" w:color="auto"/>
        <w:right w:val="none" w:sz="0" w:space="0" w:color="auto"/>
      </w:divBdr>
    </w:div>
    <w:div w:id="17241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ranz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Кирсанова Екатерина Юрьевна</dc:creator>
  <cp:keywords/>
  <dc:description/>
  <cp:lastModifiedBy>Бирюкова Наталья Сергеевна</cp:lastModifiedBy>
  <cp:revision>4</cp:revision>
  <dcterms:created xsi:type="dcterms:W3CDTF">2020-12-24T05:06:00Z</dcterms:created>
  <dcterms:modified xsi:type="dcterms:W3CDTF">2021-09-30T06:15:00Z</dcterms:modified>
</cp:coreProperties>
</file>